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1B" w:rsidRPr="0008781B" w:rsidRDefault="0008781B" w:rsidP="0008781B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08781B">
        <w:rPr>
          <w:rFonts w:ascii="Calibri" w:hAnsi="Calibri" w:cs="Calibri"/>
          <w:b/>
          <w:iCs/>
          <w:sz w:val="20"/>
          <w:szCs w:val="20"/>
          <w:lang w:val="it-IT"/>
        </w:rPr>
        <w:t xml:space="preserve">PROCEDURA </w:t>
      </w:r>
      <w:r w:rsidR="00196138">
        <w:rPr>
          <w:rFonts w:ascii="Calibri" w:hAnsi="Calibri" w:cs="Calibri"/>
          <w:b/>
          <w:iCs/>
          <w:sz w:val="20"/>
          <w:szCs w:val="20"/>
          <w:lang w:val="it-IT"/>
        </w:rPr>
        <w:t xml:space="preserve">APERTA </w:t>
      </w:r>
      <w:r w:rsidRPr="0008781B">
        <w:rPr>
          <w:rFonts w:ascii="Calibri" w:hAnsi="Calibri" w:cs="Calibri"/>
          <w:b/>
          <w:iCs/>
          <w:sz w:val="20"/>
          <w:szCs w:val="20"/>
          <w:lang w:val="it-IT"/>
        </w:rPr>
        <w:t xml:space="preserve">PER L’AFFIDAMENTO </w:t>
      </w:r>
    </w:p>
    <w:p w:rsidR="0008781B" w:rsidRPr="0008781B" w:rsidRDefault="0008781B" w:rsidP="0008781B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08781B">
        <w:rPr>
          <w:rFonts w:ascii="Calibri" w:hAnsi="Calibri" w:cs="Calibri"/>
          <w:b/>
          <w:iCs/>
          <w:sz w:val="20"/>
          <w:szCs w:val="20"/>
          <w:lang w:val="it-IT"/>
        </w:rPr>
        <w:t>DEI SERVIZI DI COPERTURE ASSICURATIVE PER FONDAZIONE ARENA DI VERONA</w:t>
      </w:r>
    </w:p>
    <w:p w:rsidR="0008781B" w:rsidRPr="0008781B" w:rsidRDefault="0008781B" w:rsidP="0008781B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08781B" w:rsidRPr="0008781B" w:rsidRDefault="0008781B" w:rsidP="0008781B">
      <w:pPr>
        <w:widowControl w:val="0"/>
        <w:spacing w:after="240"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087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C66548" w:rsidRDefault="00261AB2" w:rsidP="000878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</w:p>
    <w:p w:rsidR="0008781B" w:rsidRPr="00B31DAF" w:rsidRDefault="00DD3903" w:rsidP="000878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Cs/>
          <w:sz w:val="20"/>
          <w:szCs w:val="20"/>
          <w:lang w:val="it-IT"/>
        </w:rPr>
        <w:t>PERDITE PECUNIARIE (rischio pioggia)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Pr="00BD31D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B31DAF">
        <w:rPr>
          <w:rFonts w:cs="Calibri"/>
          <w:sz w:val="20"/>
          <w:szCs w:val="20"/>
        </w:rPr>
        <w:t>MIGLIORATIVE sui sotto</w:t>
      </w:r>
      <w:r w:rsidR="00AB7026">
        <w:rPr>
          <w:rFonts w:cs="Calibri"/>
          <w:sz w:val="20"/>
          <w:szCs w:val="20"/>
        </w:rPr>
        <w:t xml:space="preserve"> </w:t>
      </w:r>
      <w:r w:rsidR="00B31DAF">
        <w:rPr>
          <w:rFonts w:cs="Calibri"/>
          <w:sz w:val="20"/>
          <w:szCs w:val="20"/>
        </w:rPr>
        <w:t xml:space="preserve">indicati </w:t>
      </w:r>
      <w:r w:rsidR="00DD3903">
        <w:rPr>
          <w:rFonts w:cs="Calibri"/>
          <w:sz w:val="20"/>
          <w:szCs w:val="20"/>
        </w:rPr>
        <w:t>4</w:t>
      </w:r>
      <w:r w:rsidR="00AB7026">
        <w:rPr>
          <w:rFonts w:cs="Calibri"/>
          <w:sz w:val="20"/>
          <w:szCs w:val="20"/>
        </w:rPr>
        <w:t xml:space="preserve"> </w:t>
      </w:r>
      <w:r w:rsidR="00E45F91" w:rsidRPr="00BD31D8">
        <w:rPr>
          <w:rFonts w:cs="Calibri"/>
          <w:sz w:val="20"/>
          <w:szCs w:val="20"/>
        </w:rPr>
        <w:t>(</w:t>
      </w:r>
      <w:r w:rsidR="00DD3903">
        <w:rPr>
          <w:rFonts w:cs="Calibri"/>
          <w:sz w:val="20"/>
          <w:szCs w:val="20"/>
        </w:rPr>
        <w:t>quattro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C66548" w:rsidRDefault="00261AB2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tbl>
      <w:tblPr>
        <w:tblW w:w="53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559"/>
        <w:gridCol w:w="4824"/>
        <w:gridCol w:w="625"/>
      </w:tblGrid>
      <w:tr w:rsidR="00595197" w:rsidRPr="00595197" w:rsidTr="00DD3903">
        <w:trPr>
          <w:trHeight w:val="540"/>
        </w:trPr>
        <w:tc>
          <w:tcPr>
            <w:tcW w:w="492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 xml:space="preserve">N° </w:t>
            </w:r>
          </w:p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VARIANTE</w:t>
            </w:r>
          </w:p>
        </w:tc>
        <w:tc>
          <w:tcPr>
            <w:tcW w:w="178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41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</w:pPr>
            <w:r w:rsidRPr="00595197"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  <w:t>OFFERTA DEL CONCORRENTE</w:t>
            </w:r>
          </w:p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 w:rsidRPr="00595197">
              <w:rPr>
                <w:rFonts w:ascii="Calibri" w:eastAsia="Garamond" w:hAnsi="Calibri" w:cs="Calibri"/>
                <w:b/>
                <w:sz w:val="20"/>
                <w:szCs w:val="20"/>
                <w:lang w:val="it-IT"/>
              </w:rPr>
              <w:t>(barrare solo ed esclusivamente l’opzione offerta)</w:t>
            </w: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PUNTI MAX</w:t>
            </w:r>
          </w:p>
        </w:tc>
      </w:tr>
      <w:tr w:rsidR="00595197" w:rsidRPr="00595197" w:rsidTr="00DD3903">
        <w:trPr>
          <w:trHeight w:val="1403"/>
        </w:trPr>
        <w:tc>
          <w:tcPr>
            <w:tcW w:w="4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1</w:t>
            </w:r>
          </w:p>
        </w:tc>
        <w:tc>
          <w:tcPr>
            <w:tcW w:w="178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DD3903" w:rsidRDefault="00DD3903" w:rsidP="00C823A5">
            <w:pPr>
              <w:widowControl w:val="0"/>
              <w:suppressAutoHyphens w:val="0"/>
              <w:autoSpaceDE w:val="0"/>
              <w:spacing w:line="288" w:lineRule="auto"/>
              <w:ind w:left="132" w:right="137"/>
              <w:jc w:val="both"/>
              <w:textAlignment w:val="auto"/>
              <w:rPr>
                <w:rFonts w:ascii="Calibri" w:eastAsia="Garamond" w:hAnsi="Calibri" w:cs="Garamond"/>
                <w:i/>
                <w:sz w:val="20"/>
                <w:szCs w:val="20"/>
                <w:lang w:val="it-IT"/>
              </w:rPr>
            </w:pPr>
            <w:r w:rsidRPr="00DD3903">
              <w:rPr>
                <w:rFonts w:ascii="Calibri" w:eastAsia="Garamond" w:hAnsi="Calibri" w:cs="Garamond"/>
                <w:i/>
                <w:sz w:val="20"/>
                <w:szCs w:val="20"/>
                <w:lang w:val="it-IT"/>
              </w:rPr>
              <w:t>Art. 6 Sezione 2 “Pagamento del premio e decorrenza della garanzia”</w:t>
            </w:r>
          </w:p>
        </w:tc>
        <w:tc>
          <w:tcPr>
            <w:tcW w:w="241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3903" w:rsidRPr="00595197" w:rsidRDefault="00DD3903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entro 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>3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</w:t>
            </w:r>
          </w:p>
          <w:p w:rsidR="00DD3903" w:rsidRPr="00595197" w:rsidRDefault="00DD3903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4" w:hanging="143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6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5</w:t>
            </w:r>
          </w:p>
          <w:p w:rsidR="00595197" w:rsidRPr="00595197" w:rsidRDefault="00DD3903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9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 giorni successivi alla decorrenza : punti 10</w:t>
            </w:r>
          </w:p>
        </w:tc>
        <w:tc>
          <w:tcPr>
            <w:tcW w:w="31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10</w:t>
            </w:r>
          </w:p>
        </w:tc>
      </w:tr>
      <w:tr w:rsidR="00595197" w:rsidRPr="00595197" w:rsidTr="00DD3903">
        <w:trPr>
          <w:trHeight w:val="394"/>
        </w:trPr>
        <w:tc>
          <w:tcPr>
            <w:tcW w:w="492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2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595197" w:rsidRPr="00DD3903" w:rsidRDefault="00DD3903" w:rsidP="00C823A5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 w:rsidRPr="00DD3903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Art. 8 Sez. 2 “Conguaglio del premio”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>3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</w:t>
            </w:r>
          </w:p>
          <w:p w:rsidR="00595197" w:rsidRPr="00595197" w:rsidRDefault="00C823A5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4" w:hanging="143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>6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10</w:t>
            </w:r>
          </w:p>
          <w:p w:rsidR="00595197" w:rsidRPr="00595197" w:rsidRDefault="00C823A5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4" w:hanging="143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entro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>9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0 giorni successivi alla decorrenza : punti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95197" w:rsidRPr="00595197" w:rsidRDefault="00DD3903" w:rsidP="00DD3903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>
              <w:rPr>
                <w:rFonts w:ascii="Calibri" w:eastAsia="Garamond" w:hAnsi="Calibri" w:cs="Garamond"/>
                <w:sz w:val="20"/>
                <w:szCs w:val="20"/>
              </w:rPr>
              <w:t>20</w:t>
            </w:r>
          </w:p>
        </w:tc>
      </w:tr>
      <w:tr w:rsidR="00595197" w:rsidRPr="00595197" w:rsidTr="00DD3903">
        <w:trPr>
          <w:trHeight w:val="348"/>
        </w:trPr>
        <w:tc>
          <w:tcPr>
            <w:tcW w:w="492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sz w:val="20"/>
                <w:szCs w:val="20"/>
              </w:rPr>
              <w:t>3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595197" w:rsidRPr="00DD3903" w:rsidRDefault="00DD3903" w:rsidP="00DD3903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 w:rsidRPr="00DD3903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Art. 10 Sez. 2 “Recesso a seguito di sinistro”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preavviso non inferiore a 120 giorni :           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</w:t>
            </w:r>
          </w:p>
          <w:p w:rsidR="00595197" w:rsidRPr="00595197" w:rsidRDefault="00595197" w:rsidP="00595197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preavviso non  inferiore a 180 giorni :          punti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5</w:t>
            </w:r>
          </w:p>
          <w:p w:rsidR="00595197" w:rsidRPr="00595197" w:rsidRDefault="00595197" w:rsidP="00C823A5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after="200" w:line="480" w:lineRule="auto"/>
              <w:ind w:left="313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preavviso non inferiore a 210 giorni :           punti </w:t>
            </w:r>
            <w:r w:rsidR="00C823A5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10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95197" w:rsidRPr="00595197" w:rsidRDefault="00C823A5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>10</w:t>
            </w:r>
          </w:p>
        </w:tc>
      </w:tr>
    </w:tbl>
    <w:p w:rsidR="0008781B" w:rsidRDefault="0008781B">
      <w:r>
        <w:br w:type="page"/>
      </w:r>
    </w:p>
    <w:tbl>
      <w:tblPr>
        <w:tblW w:w="53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22"/>
        <w:gridCol w:w="3559"/>
        <w:gridCol w:w="4824"/>
        <w:gridCol w:w="625"/>
      </w:tblGrid>
      <w:tr w:rsidR="00595197" w:rsidRPr="00595197" w:rsidTr="00DD3903">
        <w:trPr>
          <w:trHeight w:val="348"/>
        </w:trPr>
        <w:tc>
          <w:tcPr>
            <w:tcW w:w="4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595197" w:rsidRDefault="00595197" w:rsidP="00BA7423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lastRenderedPageBreak/>
              <w:t xml:space="preserve">N° </w:t>
            </w:r>
          </w:p>
          <w:p w:rsidR="00595197" w:rsidRPr="00595197" w:rsidRDefault="00595197" w:rsidP="00BA7423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VARIANTE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OGGETTO DELLA VARIANTE</w:t>
            </w: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CB0938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B0938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OFFERTA DEL CONCORRENTE</w:t>
            </w:r>
          </w:p>
          <w:p w:rsidR="00595197" w:rsidRPr="00CB0938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B0938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(barrare solo ed esclusivamente l’opzione offerta)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95197" w:rsidRPr="00595197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</w:rPr>
            </w:pPr>
            <w:r w:rsidRPr="00595197">
              <w:rPr>
                <w:rFonts w:ascii="Calibri" w:eastAsia="Garamond" w:hAnsi="Calibri" w:cs="Garamond"/>
                <w:b/>
                <w:sz w:val="20"/>
                <w:szCs w:val="20"/>
              </w:rPr>
              <w:t>PUNTI MAX</w:t>
            </w:r>
          </w:p>
        </w:tc>
      </w:tr>
      <w:tr w:rsidR="00595197" w:rsidRPr="00595197" w:rsidTr="00DD3903">
        <w:trPr>
          <w:trHeight w:val="348"/>
        </w:trPr>
        <w:tc>
          <w:tcPr>
            <w:tcW w:w="4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C823A5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>
              <w:rPr>
                <w:rFonts w:ascii="Calibri" w:eastAsia="Garamond" w:hAnsi="Calibri" w:cs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DD3903" w:rsidRDefault="00DD3903" w:rsidP="00DD3903">
            <w:pPr>
              <w:widowControl w:val="0"/>
              <w:autoSpaceDE w:val="0"/>
              <w:spacing w:line="288" w:lineRule="auto"/>
              <w:ind w:left="132" w:right="137"/>
              <w:jc w:val="both"/>
              <w:rPr>
                <w:rFonts w:ascii="Calibri" w:eastAsia="Calibri" w:hAnsi="Calibri"/>
                <w:i/>
                <w:sz w:val="20"/>
                <w:szCs w:val="20"/>
                <w:lang w:val="it-IT"/>
              </w:rPr>
            </w:pPr>
            <w:r w:rsidRPr="00DD3903">
              <w:rPr>
                <w:rFonts w:ascii="Calibri" w:eastAsia="Calibri" w:hAnsi="Calibri"/>
                <w:bCs/>
                <w:i/>
                <w:sz w:val="20"/>
                <w:szCs w:val="20"/>
                <w:lang w:val="it-IT"/>
              </w:rPr>
              <w:t>Art.6 Sezione 3 “</w:t>
            </w:r>
            <w:r w:rsidRPr="00DD3903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Partecipazione agli utili</w:t>
            </w:r>
            <w:r w:rsidRPr="00DD3903">
              <w:rPr>
                <w:rFonts w:ascii="Calibri" w:eastAsia="Calibri" w:hAnsi="Calibri"/>
                <w:bCs/>
                <w:i/>
                <w:sz w:val="20"/>
                <w:szCs w:val="20"/>
                <w:lang w:val="it-IT"/>
              </w:rPr>
              <w:t>”</w:t>
            </w: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903" w:rsidRDefault="00DD3903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/>
              <w:ind w:left="312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</w:t>
            </w:r>
            <w:r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>il 5% d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el </w:t>
            </w:r>
            <w:r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>saldo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attivo</w:t>
            </w:r>
            <w:r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quale partecipazione agli utili</w:t>
            </w:r>
            <w:r w:rsidR="00595197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: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</w:t>
            </w:r>
          </w:p>
          <w:p w:rsidR="00595197" w:rsidRPr="00595197" w:rsidRDefault="00595197" w:rsidP="00DD3903">
            <w:pPr>
              <w:widowControl w:val="0"/>
              <w:suppressAutoHyphens w:val="0"/>
              <w:autoSpaceDE w:val="0"/>
              <w:autoSpaceDN/>
              <w:spacing w:before="120" w:after="200"/>
              <w:ind w:left="3690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punti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0</w:t>
            </w:r>
          </w:p>
          <w:p w:rsidR="00DD3903" w:rsidRDefault="00595197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/>
              <w:ind w:left="312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Il 15% </w:t>
            </w:r>
            <w:r w:rsidR="00DD3903"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>d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el </w:t>
            </w:r>
            <w:r w:rsidR="00DD3903"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>saldo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attivo</w:t>
            </w:r>
            <w:r w:rsidR="00DD3903"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quale partecipazione agli utili</w:t>
            </w:r>
            <w:r w:rsidR="00DD3903"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:</w:t>
            </w:r>
            <w:r w:rsid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</w:t>
            </w:r>
          </w:p>
          <w:p w:rsidR="00DD3903" w:rsidRPr="00595197" w:rsidRDefault="00DD3903" w:rsidP="00DD3903">
            <w:pPr>
              <w:widowControl w:val="0"/>
              <w:suppressAutoHyphens w:val="0"/>
              <w:autoSpaceDE w:val="0"/>
              <w:autoSpaceDN/>
              <w:spacing w:before="120" w:after="200"/>
              <w:ind w:left="3690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punti 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15</w:t>
            </w:r>
          </w:p>
          <w:p w:rsidR="00DD3903" w:rsidRDefault="00DD3903" w:rsidP="00DD3903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spacing w:before="120" w:after="200"/>
              <w:ind w:left="312" w:hanging="142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Il 25% </w:t>
            </w:r>
            <w:r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>d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el </w:t>
            </w:r>
            <w:r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>saldo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attivo</w:t>
            </w:r>
            <w:r w:rsidRPr="00DD3903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quale partecipazione agli utili</w:t>
            </w: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>: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          </w:t>
            </w:r>
          </w:p>
          <w:p w:rsidR="00595197" w:rsidRPr="00595197" w:rsidRDefault="00DD3903" w:rsidP="00DD3903">
            <w:pPr>
              <w:widowControl w:val="0"/>
              <w:suppressAutoHyphens w:val="0"/>
              <w:autoSpaceDE w:val="0"/>
              <w:autoSpaceDN/>
              <w:spacing w:before="120" w:after="200"/>
              <w:ind w:left="3690"/>
              <w:contextualSpacing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 w:rsidRPr="00595197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punti </w:t>
            </w: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30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197" w:rsidRPr="00595197" w:rsidRDefault="00DD3903" w:rsidP="00595197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Calibri" w:eastAsia="Calibri" w:hAnsi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sz w:val="20"/>
                <w:szCs w:val="20"/>
                <w:lang w:val="it-IT"/>
              </w:rPr>
              <w:t>30</w:t>
            </w:r>
          </w:p>
        </w:tc>
      </w:tr>
      <w:tr w:rsidR="00595197" w:rsidRPr="00C823A5" w:rsidTr="00DD3903">
        <w:trPr>
          <w:trHeight w:val="348"/>
        </w:trPr>
        <w:tc>
          <w:tcPr>
            <w:tcW w:w="481" w:type="pct"/>
            <w:shd w:val="clear" w:color="auto" w:fill="D9D9D9"/>
          </w:tcPr>
          <w:p w:rsidR="00595197" w:rsidRPr="00C823A5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 w:rsidRPr="00C823A5">
              <w:rPr>
                <w:rFonts w:ascii="Calibri" w:eastAsia="Garamond" w:hAnsi="Calibri" w:cs="Garamond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206" w:type="pct"/>
            <w:gridSpan w:val="3"/>
            <w:shd w:val="clear" w:color="auto" w:fill="D9D9D9"/>
          </w:tcPr>
          <w:p w:rsidR="00595197" w:rsidRPr="00C823A5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right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823A5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313" w:type="pct"/>
            <w:shd w:val="clear" w:color="auto" w:fill="D9D9D9"/>
          </w:tcPr>
          <w:p w:rsidR="00595197" w:rsidRPr="00C823A5" w:rsidRDefault="00595197" w:rsidP="00595197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C823A5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70</w:t>
            </w:r>
          </w:p>
        </w:tc>
      </w:tr>
    </w:tbl>
    <w:p w:rsidR="00595197" w:rsidRDefault="00595197">
      <w:pPr>
        <w:rPr>
          <w:rFonts w:ascii="Calibri" w:hAnsi="Calibri" w:cs="Calibri"/>
          <w:sz w:val="20"/>
          <w:szCs w:val="20"/>
          <w:lang w:val="it-IT"/>
        </w:rPr>
      </w:pPr>
    </w:p>
    <w:p w:rsidR="00595197" w:rsidRPr="00BD31D8" w:rsidRDefault="00595197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59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6" w:color="000000"/>
        </w:pBdr>
        <w:ind w:right="48"/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Si precisa che nel caso in cui il concorrente ometta di barrare con una X l’opzione offerta nell’ambito di una o più</w:t>
      </w:r>
      <w:r w:rsidR="00595197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16" w:rsidRDefault="00DE2516" w:rsidP="00E536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 w:rsidP="00E536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DE2516" w:rsidRDefault="00DE2516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61" w:rsidRDefault="00AE0F61" w:rsidP="00C66548">
      <w:r>
        <w:separator/>
      </w:r>
    </w:p>
  </w:endnote>
  <w:endnote w:type="continuationSeparator" w:id="0">
    <w:p w:rsidR="00AE0F61" w:rsidRDefault="00AE0F61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1B" w:rsidRPr="0008781B" w:rsidRDefault="00AE0F61" w:rsidP="0008781B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08781B" w:rsidRPr="0008781B">
      <w:rPr>
        <w:rFonts w:ascii="Calibri" w:hAnsi="Calibri" w:cs="Calibri"/>
        <w:sz w:val="14"/>
        <w:szCs w:val="16"/>
        <w:lang w:val="it-IT"/>
      </w:rPr>
      <w:t xml:space="preserve"> Procedura negoziata per l’affidamento dei servizi di coperture assicurative per FONDAZIONE ARENA DI VERONA</w:t>
    </w:r>
  </w:p>
  <w:p w:rsidR="0008781B" w:rsidRPr="0008781B" w:rsidRDefault="0008781B" w:rsidP="0008781B">
    <w:pPr>
      <w:tabs>
        <w:tab w:val="center" w:pos="4819"/>
        <w:tab w:val="right" w:pos="9638"/>
      </w:tabs>
      <w:jc w:val="center"/>
      <w:rPr>
        <w:rFonts w:ascii="Calibri" w:hAnsi="Calibri" w:cs="Calibri"/>
        <w:sz w:val="14"/>
        <w:szCs w:val="16"/>
        <w:lang w:val="it-IT"/>
      </w:rPr>
    </w:pPr>
    <w:r w:rsidRPr="0008781B">
      <w:rPr>
        <w:rFonts w:ascii="Calibri" w:hAnsi="Calibri" w:cs="Calibri"/>
        <w:sz w:val="14"/>
        <w:szCs w:val="16"/>
        <w:lang w:val="it-IT"/>
      </w:rPr>
      <w:t xml:space="preserve">Allegato B – </w:t>
    </w:r>
    <w:bookmarkEnd w:id="1"/>
    <w:r w:rsidRPr="0008781B">
      <w:rPr>
        <w:rFonts w:ascii="Calibri" w:hAnsi="Calibri" w:cs="Calibri"/>
        <w:sz w:val="14"/>
        <w:szCs w:val="16"/>
        <w:lang w:val="it-IT"/>
      </w:rPr>
      <w:t xml:space="preserve">Scheda offerta tecnica Lotto </w:t>
    </w:r>
    <w:r w:rsidR="00DD3903">
      <w:rPr>
        <w:rFonts w:ascii="Calibri" w:hAnsi="Calibri" w:cs="Calibri"/>
        <w:sz w:val="14"/>
        <w:szCs w:val="16"/>
        <w:lang w:val="it-IT"/>
      </w:rPr>
      <w:t>Perdite Pecuniarie (rischio pioggia)</w:t>
    </w:r>
  </w:p>
  <w:p w:rsidR="0008781B" w:rsidRPr="0008781B" w:rsidRDefault="0008781B" w:rsidP="0008781B">
    <w:pPr>
      <w:jc w:val="center"/>
      <w:rPr>
        <w:rFonts w:ascii="Calibri" w:hAnsi="Calibri" w:cs="Calibri"/>
        <w:lang w:val="it-IT"/>
      </w:rPr>
    </w:pPr>
    <w:r w:rsidRPr="0008781B">
      <w:rPr>
        <w:rFonts w:ascii="Calibri" w:hAnsi="Calibri" w:cs="Calibri"/>
        <w:sz w:val="14"/>
        <w:szCs w:val="16"/>
        <w:lang w:val="it-IT"/>
      </w:rPr>
      <w:t xml:space="preserve">Pagina </w:t>
    </w:r>
    <w:r w:rsidRPr="0008781B">
      <w:rPr>
        <w:rFonts w:ascii="Calibri" w:hAnsi="Calibri" w:cs="Calibri"/>
        <w:sz w:val="14"/>
        <w:szCs w:val="16"/>
      </w:rPr>
      <w:fldChar w:fldCharType="begin"/>
    </w:r>
    <w:r w:rsidRPr="0008781B">
      <w:rPr>
        <w:rFonts w:ascii="Calibri" w:hAnsi="Calibri" w:cs="Calibri"/>
        <w:sz w:val="14"/>
        <w:szCs w:val="16"/>
        <w:lang w:val="it-IT"/>
      </w:rPr>
      <w:instrText xml:space="preserve"> PAGE </w:instrText>
    </w:r>
    <w:r w:rsidRPr="0008781B">
      <w:rPr>
        <w:rFonts w:ascii="Calibri" w:hAnsi="Calibri" w:cs="Calibri"/>
        <w:sz w:val="14"/>
        <w:szCs w:val="16"/>
      </w:rPr>
      <w:fldChar w:fldCharType="separate"/>
    </w:r>
    <w:r w:rsidR="00DE2516">
      <w:rPr>
        <w:rFonts w:ascii="Calibri" w:hAnsi="Calibri" w:cs="Calibri"/>
        <w:noProof/>
        <w:sz w:val="14"/>
        <w:szCs w:val="16"/>
        <w:lang w:val="it-IT"/>
      </w:rPr>
      <w:t>1</w:t>
    </w:r>
    <w:r w:rsidRPr="0008781B">
      <w:rPr>
        <w:rFonts w:ascii="Calibri" w:hAnsi="Calibri" w:cs="Calibri"/>
        <w:sz w:val="14"/>
        <w:szCs w:val="16"/>
      </w:rPr>
      <w:fldChar w:fldCharType="end"/>
    </w:r>
    <w:r w:rsidRPr="0008781B">
      <w:rPr>
        <w:rFonts w:ascii="Calibri" w:hAnsi="Calibri" w:cs="Calibri"/>
        <w:sz w:val="14"/>
        <w:szCs w:val="16"/>
        <w:lang w:val="it-IT"/>
      </w:rPr>
      <w:t xml:space="preserve"> di </w:t>
    </w:r>
    <w:r w:rsidRPr="0008781B">
      <w:rPr>
        <w:rFonts w:ascii="Calibri" w:hAnsi="Calibri" w:cs="Calibri"/>
        <w:sz w:val="14"/>
        <w:szCs w:val="16"/>
      </w:rPr>
      <w:fldChar w:fldCharType="begin"/>
    </w:r>
    <w:r w:rsidRPr="0008781B">
      <w:rPr>
        <w:rFonts w:ascii="Calibri" w:hAnsi="Calibri" w:cs="Calibri"/>
        <w:sz w:val="14"/>
        <w:szCs w:val="16"/>
        <w:lang w:val="it-IT"/>
      </w:rPr>
      <w:instrText xml:space="preserve"> NUMPAGES  </w:instrText>
    </w:r>
    <w:r w:rsidRPr="0008781B">
      <w:rPr>
        <w:rFonts w:ascii="Calibri" w:hAnsi="Calibri" w:cs="Calibri"/>
        <w:sz w:val="14"/>
        <w:szCs w:val="16"/>
      </w:rPr>
      <w:fldChar w:fldCharType="separate"/>
    </w:r>
    <w:r w:rsidR="00DE2516">
      <w:rPr>
        <w:rFonts w:ascii="Calibri" w:hAnsi="Calibri" w:cs="Calibri"/>
        <w:noProof/>
        <w:sz w:val="14"/>
        <w:szCs w:val="16"/>
        <w:lang w:val="it-IT"/>
      </w:rPr>
      <w:t>2</w:t>
    </w:r>
    <w:r w:rsidRPr="0008781B">
      <w:rPr>
        <w:rFonts w:ascii="Calibri" w:hAnsi="Calibri" w:cs="Calibri"/>
        <w:sz w:val="14"/>
        <w:szCs w:val="16"/>
      </w:rPr>
      <w:fldChar w:fldCharType="end"/>
    </w:r>
  </w:p>
  <w:p w:rsidR="006E0AF4" w:rsidRPr="00595197" w:rsidRDefault="006E0AF4" w:rsidP="0008781B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61" w:rsidRDefault="00AE0F61" w:rsidP="00C66548">
      <w:r w:rsidRPr="00C66548">
        <w:rPr>
          <w:color w:val="000000"/>
        </w:rPr>
        <w:separator/>
      </w:r>
    </w:p>
  </w:footnote>
  <w:footnote w:type="continuationSeparator" w:id="0">
    <w:p w:rsidR="00AE0F61" w:rsidRDefault="00AE0F61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6E0AF4" w:rsidP="006E0AF4">
    <w:pPr>
      <w:pStyle w:val="Intestazione"/>
      <w:rPr>
        <w:sz w:val="10"/>
        <w:szCs w:val="10"/>
      </w:rPr>
    </w:pPr>
  </w:p>
  <w:p w:rsidR="00DE2516" w:rsidRPr="00DE2516" w:rsidRDefault="00DE2516" w:rsidP="00DE2516">
    <w:pPr>
      <w:tabs>
        <w:tab w:val="center" w:pos="4819"/>
        <w:tab w:val="right" w:pos="9638"/>
      </w:tabs>
      <w:suppressAutoHyphens w:val="0"/>
      <w:autoSpaceDN/>
      <w:jc w:val="right"/>
      <w:textAlignment w:val="auto"/>
      <w:rPr>
        <w:rFonts w:eastAsia="Calibri"/>
        <w:i/>
        <w:lang w:val="it-IT"/>
      </w:rPr>
    </w:pPr>
    <w:r w:rsidRPr="00DE2516">
      <w:rPr>
        <w:rFonts w:eastAsia="Calibri"/>
        <w:i/>
        <w:lang w:val="it-IT"/>
      </w:rPr>
      <w:t xml:space="preserve">ALLEGATO </w:t>
    </w:r>
    <w:r w:rsidRPr="00DE2516"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53340</wp:posOffset>
          </wp:positionV>
          <wp:extent cx="1371600" cy="864235"/>
          <wp:effectExtent l="0" t="0" r="0" b="0"/>
          <wp:wrapSquare wrapText="bothSides"/>
          <wp:docPr id="1" name="Immagine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i/>
        <w:lang w:val="it-IT"/>
      </w:rPr>
      <w:t>B</w:t>
    </w:r>
  </w:p>
  <w:p w:rsidR="00DE2516" w:rsidRPr="00DE2516" w:rsidRDefault="00DE2516" w:rsidP="00DE2516">
    <w:pPr>
      <w:tabs>
        <w:tab w:val="center" w:pos="4819"/>
        <w:tab w:val="right" w:pos="9638"/>
      </w:tabs>
      <w:suppressAutoHyphens w:val="0"/>
      <w:autoSpaceDN/>
      <w:textAlignment w:val="auto"/>
      <w:rPr>
        <w:rFonts w:ascii="Arial" w:hAnsi="Arial" w:cs="Arial"/>
        <w:b/>
        <w:sz w:val="20"/>
        <w:szCs w:val="20"/>
        <w:lang w:val="en-GB" w:eastAsia="it-IT"/>
      </w:rPr>
    </w:pPr>
    <w:r w:rsidRPr="00DE2516">
      <w:rPr>
        <w:rFonts w:ascii="Arial" w:hAnsi="Arial" w:cs="Arial"/>
        <w:b/>
        <w:sz w:val="20"/>
        <w:szCs w:val="20"/>
        <w:lang w:val="it-IT" w:eastAsia="it-IT"/>
      </w:rPr>
      <w:tab/>
    </w:r>
    <w:r w:rsidRPr="00DE2516">
      <w:rPr>
        <w:rFonts w:ascii="Arial" w:hAnsi="Arial" w:cs="Arial"/>
        <w:b/>
        <w:sz w:val="20"/>
        <w:szCs w:val="20"/>
        <w:lang w:val="it-IT" w:eastAsia="it-IT"/>
      </w:rPr>
      <w:tab/>
    </w:r>
  </w:p>
  <w:p w:rsidR="00DE2516" w:rsidRPr="00DE2516" w:rsidRDefault="00DE2516" w:rsidP="00DE2516">
    <w:pPr>
      <w:tabs>
        <w:tab w:val="center" w:pos="4819"/>
        <w:tab w:val="left" w:pos="5940"/>
        <w:tab w:val="right" w:pos="9638"/>
      </w:tabs>
      <w:suppressAutoHyphens w:val="0"/>
      <w:autoSpaceDN/>
      <w:jc w:val="center"/>
      <w:textAlignment w:val="auto"/>
      <w:rPr>
        <w:rFonts w:ascii="Arial" w:hAnsi="Arial" w:cs="Arial"/>
        <w:b/>
        <w:sz w:val="20"/>
        <w:szCs w:val="20"/>
        <w:lang w:val="en-GB" w:eastAsia="it-IT"/>
      </w:rPr>
    </w:pPr>
    <w:r w:rsidRPr="00DE2516">
      <w:rPr>
        <w:rFonts w:ascii="Arial" w:hAnsi="Arial" w:cs="Arial"/>
        <w:b/>
        <w:sz w:val="20"/>
        <w:szCs w:val="20"/>
        <w:lang w:val="en-GB" w:eastAsia="it-IT"/>
      </w:rPr>
      <w:tab/>
    </w:r>
  </w:p>
  <w:p w:rsidR="00DE2516" w:rsidRPr="00DE2516" w:rsidRDefault="00DE2516" w:rsidP="00DE2516">
    <w:pPr>
      <w:tabs>
        <w:tab w:val="center" w:pos="4819"/>
        <w:tab w:val="left" w:pos="5940"/>
        <w:tab w:val="right" w:pos="9638"/>
      </w:tabs>
      <w:suppressAutoHyphens w:val="0"/>
      <w:autoSpaceDN/>
      <w:jc w:val="center"/>
      <w:textAlignment w:val="auto"/>
      <w:rPr>
        <w:rFonts w:ascii="Arial" w:hAnsi="Arial" w:cs="Arial"/>
        <w:b/>
        <w:sz w:val="20"/>
        <w:szCs w:val="20"/>
        <w:lang w:val="en-GB" w:eastAsia="it-IT"/>
      </w:rPr>
    </w:pPr>
  </w:p>
  <w:p w:rsidR="00DE2516" w:rsidRPr="00DE2516" w:rsidRDefault="00DE2516" w:rsidP="00DE2516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20"/>
        <w:lang w:val="en-GB" w:eastAsia="it-IT"/>
      </w:rPr>
    </w:pPr>
  </w:p>
  <w:p w:rsidR="00DE2516" w:rsidRPr="00DE2516" w:rsidRDefault="00DE2516" w:rsidP="00DE2516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16"/>
        <w:lang w:val="it-IT" w:eastAsia="it-IT"/>
      </w:rPr>
    </w:pPr>
  </w:p>
  <w:p w:rsidR="00DE2516" w:rsidRPr="00DE2516" w:rsidRDefault="00DE2516" w:rsidP="00DE2516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16"/>
        <w:lang w:val="it-IT" w:eastAsia="it-IT"/>
      </w:rPr>
    </w:pPr>
  </w:p>
  <w:p w:rsidR="00DE2516" w:rsidRPr="00DE2516" w:rsidRDefault="00DE2516" w:rsidP="00DE2516">
    <w:pPr>
      <w:pBdr>
        <w:bottom w:val="single" w:sz="8" w:space="1" w:color="3366FF"/>
      </w:pBdr>
      <w:tabs>
        <w:tab w:val="center" w:pos="4819"/>
        <w:tab w:val="left" w:pos="5760"/>
        <w:tab w:val="right" w:pos="9638"/>
      </w:tabs>
      <w:suppressAutoHyphens w:val="0"/>
      <w:autoSpaceDN/>
      <w:textAlignment w:val="auto"/>
      <w:rPr>
        <w:rFonts w:ascii="Arial" w:hAnsi="Arial" w:cs="Arial"/>
        <w:b/>
        <w:sz w:val="20"/>
        <w:szCs w:val="22"/>
        <w:lang w:val="it-IT" w:eastAsia="it-IT"/>
      </w:rPr>
    </w:pPr>
  </w:p>
  <w:p w:rsidR="00DE2516" w:rsidRPr="00DE2516" w:rsidRDefault="00DE2516" w:rsidP="00DE2516">
    <w:pPr>
      <w:tabs>
        <w:tab w:val="center" w:pos="4819"/>
        <w:tab w:val="left" w:pos="5760"/>
      </w:tabs>
      <w:suppressAutoHyphens w:val="0"/>
      <w:autoSpaceDN/>
      <w:textAlignment w:val="auto"/>
      <w:rPr>
        <w:rFonts w:eastAsia="Calibri"/>
        <w:i/>
        <w:lang w:val="it-IT"/>
      </w:rPr>
    </w:pPr>
    <w:r w:rsidRPr="00DE2516">
      <w:rPr>
        <w:rFonts w:ascii="Arial" w:hAnsi="Arial" w:cs="Arial"/>
        <w:b/>
        <w:sz w:val="20"/>
        <w:szCs w:val="22"/>
        <w:lang w:val="it-IT" w:eastAsia="it-IT"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20F9C"/>
    <w:multiLevelType w:val="hybridMultilevel"/>
    <w:tmpl w:val="011CDF50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E0268DF"/>
    <w:multiLevelType w:val="hybridMultilevel"/>
    <w:tmpl w:val="255E08F4"/>
    <w:lvl w:ilvl="0" w:tplc="BE0C6FD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 w15:restartNumberingAfterBreak="0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43F"/>
    <w:multiLevelType w:val="hybridMultilevel"/>
    <w:tmpl w:val="2F08BDF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4A35B6A"/>
    <w:multiLevelType w:val="hybridMultilevel"/>
    <w:tmpl w:val="6C0ED106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D265D"/>
    <w:multiLevelType w:val="hybridMultilevel"/>
    <w:tmpl w:val="FF4ED74E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 w15:restartNumberingAfterBreak="0">
    <w:nsid w:val="58C6775C"/>
    <w:multiLevelType w:val="hybridMultilevel"/>
    <w:tmpl w:val="0D8032BA"/>
    <w:lvl w:ilvl="0" w:tplc="BE0C6FD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23" w15:restartNumberingAfterBreak="0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5E413D66"/>
    <w:multiLevelType w:val="hybridMultilevel"/>
    <w:tmpl w:val="7BE47418"/>
    <w:lvl w:ilvl="0" w:tplc="30604D7E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31084"/>
    <w:multiLevelType w:val="hybridMultilevel"/>
    <w:tmpl w:val="866694F0"/>
    <w:lvl w:ilvl="0" w:tplc="BE0C6FD2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3"/>
  </w:num>
  <w:num w:numId="5">
    <w:abstractNumId w:val="0"/>
  </w:num>
  <w:num w:numId="6">
    <w:abstractNumId w:val="13"/>
  </w:num>
  <w:num w:numId="7">
    <w:abstractNumId w:val="24"/>
  </w:num>
  <w:num w:numId="8">
    <w:abstractNumId w:val="13"/>
  </w:num>
  <w:num w:numId="9">
    <w:abstractNumId w:val="6"/>
  </w:num>
  <w:num w:numId="10">
    <w:abstractNumId w:val="25"/>
  </w:num>
  <w:num w:numId="11">
    <w:abstractNumId w:val="32"/>
  </w:num>
  <w:num w:numId="12">
    <w:abstractNumId w:val="4"/>
  </w:num>
  <w:num w:numId="13">
    <w:abstractNumId w:val="27"/>
  </w:num>
  <w:num w:numId="14">
    <w:abstractNumId w:val="19"/>
  </w:num>
  <w:num w:numId="15">
    <w:abstractNumId w:val="2"/>
  </w:num>
  <w:num w:numId="16">
    <w:abstractNumId w:val="31"/>
  </w:num>
  <w:num w:numId="17">
    <w:abstractNumId w:val="28"/>
  </w:num>
  <w:num w:numId="18">
    <w:abstractNumId w:val="17"/>
  </w:num>
  <w:num w:numId="19">
    <w:abstractNumId w:val="29"/>
  </w:num>
  <w:num w:numId="20">
    <w:abstractNumId w:val="12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3"/>
  </w:num>
  <w:num w:numId="30">
    <w:abstractNumId w:val="21"/>
  </w:num>
  <w:num w:numId="31">
    <w:abstractNumId w:val="16"/>
  </w:num>
  <w:num w:numId="32">
    <w:abstractNumId w:val="14"/>
  </w:num>
  <w:num w:numId="33">
    <w:abstractNumId w:val="30"/>
  </w:num>
  <w:num w:numId="34">
    <w:abstractNumId w:val="11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0627B7"/>
    <w:rsid w:val="000672E5"/>
    <w:rsid w:val="0008781B"/>
    <w:rsid w:val="00123311"/>
    <w:rsid w:val="00172E7D"/>
    <w:rsid w:val="00196138"/>
    <w:rsid w:val="001E5DED"/>
    <w:rsid w:val="00261AB2"/>
    <w:rsid w:val="002F679E"/>
    <w:rsid w:val="00356025"/>
    <w:rsid w:val="003F4211"/>
    <w:rsid w:val="00430FA4"/>
    <w:rsid w:val="0046478A"/>
    <w:rsid w:val="00542648"/>
    <w:rsid w:val="0057337B"/>
    <w:rsid w:val="00595197"/>
    <w:rsid w:val="00595D2D"/>
    <w:rsid w:val="005F7A66"/>
    <w:rsid w:val="0064582E"/>
    <w:rsid w:val="0067426E"/>
    <w:rsid w:val="006A158E"/>
    <w:rsid w:val="006D4596"/>
    <w:rsid w:val="006E0AF4"/>
    <w:rsid w:val="006F46D6"/>
    <w:rsid w:val="00722E6A"/>
    <w:rsid w:val="007354A3"/>
    <w:rsid w:val="00741CF7"/>
    <w:rsid w:val="00755DDE"/>
    <w:rsid w:val="007838CB"/>
    <w:rsid w:val="008050F3"/>
    <w:rsid w:val="008631F7"/>
    <w:rsid w:val="00871C28"/>
    <w:rsid w:val="009172D4"/>
    <w:rsid w:val="009810E4"/>
    <w:rsid w:val="0098716F"/>
    <w:rsid w:val="00A9437B"/>
    <w:rsid w:val="00AA3431"/>
    <w:rsid w:val="00AB7026"/>
    <w:rsid w:val="00AE0F61"/>
    <w:rsid w:val="00AE3952"/>
    <w:rsid w:val="00B077EF"/>
    <w:rsid w:val="00B31DAF"/>
    <w:rsid w:val="00B328D3"/>
    <w:rsid w:val="00B36B95"/>
    <w:rsid w:val="00B92138"/>
    <w:rsid w:val="00BC364F"/>
    <w:rsid w:val="00BD31D8"/>
    <w:rsid w:val="00BF6D1C"/>
    <w:rsid w:val="00C46AA5"/>
    <w:rsid w:val="00C66548"/>
    <w:rsid w:val="00C823A5"/>
    <w:rsid w:val="00C977FD"/>
    <w:rsid w:val="00CB0938"/>
    <w:rsid w:val="00D140D6"/>
    <w:rsid w:val="00DD3903"/>
    <w:rsid w:val="00DE2516"/>
    <w:rsid w:val="00E45F91"/>
    <w:rsid w:val="00E53681"/>
    <w:rsid w:val="00E60FC3"/>
    <w:rsid w:val="00E61476"/>
    <w:rsid w:val="00E92386"/>
    <w:rsid w:val="00ED273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09C75"/>
  <w15:docId w15:val="{3C58AB4B-A5F1-47B3-BCC4-C063C9C7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6342-12B3-49BC-BC62-0A444BCE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Verspieren Italia Srl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Antonella Petruzziello</dc:creator>
  <cp:lastModifiedBy>Alessandro Vellini</cp:lastModifiedBy>
  <cp:revision>4</cp:revision>
  <cp:lastPrinted>2015-07-24T08:38:00Z</cp:lastPrinted>
  <dcterms:created xsi:type="dcterms:W3CDTF">2019-04-03T12:37:00Z</dcterms:created>
  <dcterms:modified xsi:type="dcterms:W3CDTF">2019-04-07T10:10:00Z</dcterms:modified>
</cp:coreProperties>
</file>