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 xml:space="preserve">PROCEDURA </w:t>
      </w:r>
      <w:r w:rsidR="00196138">
        <w:rPr>
          <w:rFonts w:ascii="Calibri" w:hAnsi="Calibri" w:cs="Calibri"/>
          <w:b/>
          <w:iCs/>
          <w:sz w:val="20"/>
          <w:szCs w:val="20"/>
          <w:lang w:val="it-IT"/>
        </w:rPr>
        <w:t xml:space="preserve">APERTA </w:t>
      </w: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 xml:space="preserve">PER L’AFFIDAMENTO </w:t>
      </w:r>
    </w:p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>DEI SERVIZI DI COPERTURE ASSICURATIVE PER FONDAZIONE ARENA DI VERONA</w:t>
      </w:r>
    </w:p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08781B" w:rsidRPr="0008781B" w:rsidRDefault="0008781B" w:rsidP="0008781B">
      <w:pPr>
        <w:widowControl w:val="0"/>
        <w:spacing w:after="240"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0878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</w:p>
    <w:p w:rsidR="0008781B" w:rsidRPr="00B31DAF" w:rsidRDefault="0008781B" w:rsidP="000878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Cs/>
          <w:sz w:val="20"/>
          <w:szCs w:val="20"/>
          <w:lang w:val="it-IT"/>
        </w:rPr>
        <w:t>LOTTO 1 RCT/RCO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Pr="00BD31D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B31DAF">
        <w:rPr>
          <w:rFonts w:cs="Calibri"/>
          <w:sz w:val="20"/>
          <w:szCs w:val="20"/>
        </w:rPr>
        <w:t>MIGLIORATIVE sui sotto</w:t>
      </w:r>
      <w:r w:rsidR="00AB7026">
        <w:rPr>
          <w:rFonts w:cs="Calibri"/>
          <w:sz w:val="20"/>
          <w:szCs w:val="20"/>
        </w:rPr>
        <w:t xml:space="preserve"> </w:t>
      </w:r>
      <w:r w:rsidR="00B31DAF">
        <w:rPr>
          <w:rFonts w:cs="Calibri"/>
          <w:sz w:val="20"/>
          <w:szCs w:val="20"/>
        </w:rPr>
        <w:t xml:space="preserve">indicati </w:t>
      </w:r>
      <w:r w:rsidR="00C823A5">
        <w:rPr>
          <w:rFonts w:cs="Calibri"/>
          <w:sz w:val="20"/>
          <w:szCs w:val="20"/>
        </w:rPr>
        <w:t>5</w:t>
      </w:r>
      <w:r w:rsidR="00AB7026">
        <w:rPr>
          <w:rFonts w:cs="Calibri"/>
          <w:sz w:val="20"/>
          <w:szCs w:val="20"/>
        </w:rPr>
        <w:t xml:space="preserve"> </w:t>
      </w:r>
      <w:r w:rsidR="00E45F91" w:rsidRPr="00BD31D8">
        <w:rPr>
          <w:rFonts w:cs="Calibri"/>
          <w:sz w:val="20"/>
          <w:szCs w:val="20"/>
        </w:rPr>
        <w:t>(</w:t>
      </w:r>
      <w:r w:rsidR="00C823A5">
        <w:rPr>
          <w:rFonts w:cs="Calibri"/>
          <w:sz w:val="20"/>
          <w:szCs w:val="20"/>
        </w:rPr>
        <w:t>cinque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Default="00261AB2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559"/>
        <w:gridCol w:w="4682"/>
        <w:gridCol w:w="767"/>
      </w:tblGrid>
      <w:tr w:rsidR="00595197" w:rsidRPr="00595197" w:rsidTr="00C823A5">
        <w:trPr>
          <w:trHeight w:val="540"/>
        </w:trPr>
        <w:tc>
          <w:tcPr>
            <w:tcW w:w="49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 xml:space="preserve">N° </w:t>
            </w:r>
          </w:p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VARIANTE</w:t>
            </w:r>
          </w:p>
        </w:tc>
        <w:tc>
          <w:tcPr>
            <w:tcW w:w="178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34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OFFERTA DEL CONCORRENTE</w:t>
            </w:r>
          </w:p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(barrare solo ed esclusivamente l’opzione offerta)</w:t>
            </w:r>
          </w:p>
        </w:tc>
        <w:tc>
          <w:tcPr>
            <w:tcW w:w="38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PUNTI MAX</w:t>
            </w:r>
          </w:p>
        </w:tc>
      </w:tr>
      <w:tr w:rsidR="00595197" w:rsidRPr="00595197" w:rsidTr="00C823A5">
        <w:trPr>
          <w:trHeight w:val="1403"/>
        </w:trPr>
        <w:tc>
          <w:tcPr>
            <w:tcW w:w="4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1</w:t>
            </w:r>
          </w:p>
        </w:tc>
        <w:tc>
          <w:tcPr>
            <w:tcW w:w="17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C823A5">
            <w:pPr>
              <w:widowControl w:val="0"/>
              <w:suppressAutoHyphens w:val="0"/>
              <w:autoSpaceDE w:val="0"/>
              <w:spacing w:line="288" w:lineRule="auto"/>
              <w:ind w:left="132" w:right="137"/>
              <w:jc w:val="both"/>
              <w:textAlignment w:val="auto"/>
              <w:rPr>
                <w:rFonts w:ascii="Calibri" w:eastAsia="Garamond" w:hAnsi="Calibri" w:cs="Garamond"/>
                <w:i/>
                <w:sz w:val="20"/>
                <w:szCs w:val="20"/>
                <w:lang w:val="it-IT"/>
              </w:rPr>
            </w:pPr>
            <w:r w:rsidRPr="00595197">
              <w:rPr>
                <w:rFonts w:ascii="Calibri" w:eastAsia="Garamond" w:hAnsi="Calibri" w:cs="Garamond"/>
                <w:i/>
                <w:sz w:val="20"/>
                <w:szCs w:val="20"/>
                <w:lang w:val="it-IT"/>
              </w:rPr>
              <w:t>Art. 3 Sez. 2 Durata del contratto</w:t>
            </w:r>
          </w:p>
        </w:tc>
        <w:tc>
          <w:tcPr>
            <w:tcW w:w="234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C823A5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proroga 120 giorni dalla scadenza :               punti   0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proroga 180 giorni dalla scadenza :               punti   5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proroga 240 giorni dalla scadenza :               punti 10</w:t>
            </w:r>
          </w:p>
        </w:tc>
        <w:tc>
          <w:tcPr>
            <w:tcW w:w="3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10</w:t>
            </w:r>
          </w:p>
        </w:tc>
      </w:tr>
      <w:tr w:rsidR="00595197" w:rsidRPr="00595197" w:rsidTr="00C823A5">
        <w:trPr>
          <w:trHeight w:val="394"/>
        </w:trPr>
        <w:tc>
          <w:tcPr>
            <w:tcW w:w="492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2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595197" w:rsidRPr="00595197" w:rsidRDefault="00595197" w:rsidP="00C823A5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Art. 4 Sez. 2 Pagamento del premio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6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595197" w:rsidRPr="00595197" w:rsidRDefault="00C823A5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4" w:hanging="143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9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  <w:p w:rsidR="00595197" w:rsidRPr="00595197" w:rsidRDefault="00C823A5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4" w:hanging="143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12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 giorni successivi alla decorrenza : punti 10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10</w:t>
            </w:r>
          </w:p>
        </w:tc>
      </w:tr>
      <w:tr w:rsidR="00595197" w:rsidRPr="00595197" w:rsidTr="00C823A5">
        <w:trPr>
          <w:trHeight w:val="348"/>
        </w:trPr>
        <w:tc>
          <w:tcPr>
            <w:tcW w:w="492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3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595197" w:rsidRPr="00595197" w:rsidRDefault="00595197" w:rsidP="00C823A5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Art. 6 Sez. 2 Recesso a seguito di sinistro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inferiore a 120 giorni :          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 inferiore a 180 giorni :          punti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  <w:p w:rsidR="00595197" w:rsidRPr="00595197" w:rsidRDefault="00595197" w:rsidP="00C823A5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inferiore a 210 giorni :          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10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>10</w:t>
            </w:r>
          </w:p>
        </w:tc>
      </w:tr>
    </w:tbl>
    <w:p w:rsidR="0008781B" w:rsidRDefault="0008781B">
      <w:r>
        <w:br w:type="page"/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2"/>
        <w:gridCol w:w="3559"/>
        <w:gridCol w:w="4596"/>
        <w:gridCol w:w="853"/>
      </w:tblGrid>
      <w:tr w:rsidR="00595197" w:rsidRPr="00595197" w:rsidTr="00595197">
        <w:trPr>
          <w:trHeight w:val="348"/>
        </w:trPr>
        <w:tc>
          <w:tcPr>
            <w:tcW w:w="4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BA7423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lastRenderedPageBreak/>
              <w:t xml:space="preserve">N° </w:t>
            </w:r>
          </w:p>
          <w:p w:rsidR="00595197" w:rsidRPr="00595197" w:rsidRDefault="00595197" w:rsidP="00BA7423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VARIANTE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OGGETTO DELLA VARIANTE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CB0938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B0938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OFFERTA DEL CONCORRENTE</w:t>
            </w:r>
          </w:p>
          <w:p w:rsidR="00595197" w:rsidRPr="00CB0938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B0938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(barrare solo ed esclusivamente l’opzione offerta)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PUNTI MAX</w:t>
            </w:r>
          </w:p>
        </w:tc>
      </w:tr>
      <w:tr w:rsidR="00595197" w:rsidRPr="00595197" w:rsidTr="00BA7423">
        <w:trPr>
          <w:trHeight w:val="348"/>
        </w:trPr>
        <w:tc>
          <w:tcPr>
            <w:tcW w:w="4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>
              <w:rPr>
                <w:rFonts w:ascii="Calibri" w:eastAsia="Garamond" w:hAnsi="Calibri" w:cs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595197" w:rsidP="00C823A5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 xml:space="preserve">Art. </w:t>
            </w:r>
            <w:r w:rsidR="00C823A5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6</w:t>
            </w:r>
            <w:r w:rsidRPr="00595197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 xml:space="preserve"> Sez. 3 Esemplificazioni di garanzia punto </w:t>
            </w:r>
            <w:r w:rsidR="00C823A5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27</w:t>
            </w:r>
            <w:r w:rsidRPr="00595197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 xml:space="preserve"> “danni a condutture ed impianti sotterranei”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Limite di indennizzo Euro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1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00.000 :            punti 0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Limite di indennizzo Euro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2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00.000 :            punti 10</w:t>
            </w:r>
          </w:p>
          <w:p w:rsidR="00595197" w:rsidRPr="00595197" w:rsidRDefault="00595197" w:rsidP="00C823A5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Limite di indennizzo Euro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3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00.000 :            punti 15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595197" w:rsidRPr="00C823A5" w:rsidTr="00BA7423">
        <w:trPr>
          <w:trHeight w:val="348"/>
        </w:trPr>
        <w:tc>
          <w:tcPr>
            <w:tcW w:w="4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>
              <w:rPr>
                <w:rFonts w:ascii="Calibri" w:eastAsia="Garamond" w:hAnsi="Calibri" w:cs="Garamond"/>
                <w:sz w:val="20"/>
                <w:szCs w:val="20"/>
              </w:rPr>
              <w:t>5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C823A5" w:rsidP="00C823A5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Art. 2 Sez. 4 Franchigia Ogni e Qualsiasi Danno RCT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Euro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2.0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00,00                    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 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punti 0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Euro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1.000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,00                    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 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punti 1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  <w:p w:rsidR="00595197" w:rsidRPr="00595197" w:rsidRDefault="00595197" w:rsidP="00C823A5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Euro   500,00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 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>25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>2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</w:tc>
      </w:tr>
      <w:tr w:rsidR="00595197" w:rsidRPr="00C823A5" w:rsidTr="00BA7423">
        <w:trPr>
          <w:trHeight w:val="348"/>
        </w:trPr>
        <w:tc>
          <w:tcPr>
            <w:tcW w:w="481" w:type="pct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092" w:type="pct"/>
            <w:gridSpan w:val="3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right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427" w:type="pct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70</w:t>
            </w:r>
          </w:p>
        </w:tc>
      </w:tr>
    </w:tbl>
    <w:p w:rsidR="00595197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595197" w:rsidRPr="00BD31D8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59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6" w:color="000000"/>
        </w:pBdr>
        <w:ind w:right="48"/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Si precisa che nel caso in cui il concorrente ometta di barrare con una X l’opzione offerta nell’ambito di una o più</w:t>
      </w:r>
      <w:r w:rsidR="00595197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E536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06039" w:rsidRDefault="00C06039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2E" w:rsidRDefault="0064582E" w:rsidP="00C66548">
      <w:r>
        <w:separator/>
      </w:r>
    </w:p>
  </w:endnote>
  <w:endnote w:type="continuationSeparator" w:id="0">
    <w:p w:rsidR="0064582E" w:rsidRDefault="0064582E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1B" w:rsidRPr="0008781B" w:rsidRDefault="00C06039" w:rsidP="0008781B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08781B" w:rsidRPr="0008781B">
      <w:rPr>
        <w:rFonts w:ascii="Calibri" w:hAnsi="Calibri" w:cs="Calibri"/>
        <w:sz w:val="14"/>
        <w:szCs w:val="16"/>
        <w:lang w:val="it-IT"/>
      </w:rPr>
      <w:t xml:space="preserve"> Procedura negoziata per l’affidamento dei servizi di coperture assicurative per FONDAZIONE ARENA DI VERONA</w:t>
    </w:r>
  </w:p>
  <w:p w:rsidR="0008781B" w:rsidRPr="0008781B" w:rsidRDefault="0008781B" w:rsidP="0008781B">
    <w:pPr>
      <w:tabs>
        <w:tab w:val="center" w:pos="4819"/>
        <w:tab w:val="right" w:pos="9638"/>
      </w:tabs>
      <w:jc w:val="center"/>
      <w:rPr>
        <w:rFonts w:ascii="Calibri" w:hAnsi="Calibri" w:cs="Calibri"/>
        <w:sz w:val="14"/>
        <w:szCs w:val="16"/>
        <w:lang w:val="it-IT"/>
      </w:rPr>
    </w:pPr>
    <w:r w:rsidRPr="0008781B">
      <w:rPr>
        <w:rFonts w:ascii="Calibri" w:hAnsi="Calibri" w:cs="Calibri"/>
        <w:sz w:val="14"/>
        <w:szCs w:val="16"/>
        <w:lang w:val="it-IT"/>
      </w:rPr>
      <w:t xml:space="preserve">Allegato B2 – </w:t>
    </w:r>
    <w:bookmarkEnd w:id="1"/>
    <w:r w:rsidRPr="0008781B">
      <w:rPr>
        <w:rFonts w:ascii="Calibri" w:hAnsi="Calibri" w:cs="Calibri"/>
        <w:sz w:val="14"/>
        <w:szCs w:val="16"/>
        <w:lang w:val="it-IT"/>
      </w:rPr>
      <w:t xml:space="preserve">Scheda offerta tecnica Lotto </w:t>
    </w:r>
    <w:r>
      <w:rPr>
        <w:rFonts w:ascii="Calibri" w:hAnsi="Calibri" w:cs="Calibri"/>
        <w:sz w:val="14"/>
        <w:szCs w:val="16"/>
        <w:lang w:val="it-IT"/>
      </w:rPr>
      <w:t>1</w:t>
    </w:r>
    <w:r w:rsidRPr="0008781B">
      <w:rPr>
        <w:rFonts w:ascii="Calibri" w:hAnsi="Calibri" w:cs="Calibri"/>
        <w:sz w:val="14"/>
        <w:szCs w:val="16"/>
        <w:lang w:val="it-IT"/>
      </w:rPr>
      <w:t xml:space="preserve"> </w:t>
    </w:r>
    <w:r>
      <w:rPr>
        <w:rFonts w:ascii="Calibri" w:hAnsi="Calibri" w:cs="Calibri"/>
        <w:sz w:val="14"/>
        <w:szCs w:val="16"/>
        <w:lang w:val="it-IT"/>
      </w:rPr>
      <w:t>RCT_RCO</w:t>
    </w:r>
  </w:p>
  <w:p w:rsidR="0008781B" w:rsidRPr="0008781B" w:rsidRDefault="0008781B" w:rsidP="0008781B">
    <w:pPr>
      <w:jc w:val="center"/>
      <w:rPr>
        <w:rFonts w:ascii="Calibri" w:hAnsi="Calibri" w:cs="Calibri"/>
        <w:lang w:val="it-IT"/>
      </w:rPr>
    </w:pPr>
    <w:r w:rsidRPr="0008781B">
      <w:rPr>
        <w:rFonts w:ascii="Calibri" w:hAnsi="Calibri" w:cs="Calibri"/>
        <w:sz w:val="14"/>
        <w:szCs w:val="16"/>
        <w:lang w:val="it-IT"/>
      </w:rPr>
      <w:t xml:space="preserve">Pagina </w:t>
    </w:r>
    <w:r w:rsidRPr="0008781B">
      <w:rPr>
        <w:rFonts w:ascii="Calibri" w:hAnsi="Calibri" w:cs="Calibri"/>
        <w:sz w:val="14"/>
        <w:szCs w:val="16"/>
      </w:rPr>
      <w:fldChar w:fldCharType="begin"/>
    </w:r>
    <w:r w:rsidRPr="0008781B">
      <w:rPr>
        <w:rFonts w:ascii="Calibri" w:hAnsi="Calibri" w:cs="Calibri"/>
        <w:sz w:val="14"/>
        <w:szCs w:val="16"/>
        <w:lang w:val="it-IT"/>
      </w:rPr>
      <w:instrText xml:space="preserve"> PAGE </w:instrText>
    </w:r>
    <w:r w:rsidRPr="0008781B">
      <w:rPr>
        <w:rFonts w:ascii="Calibri" w:hAnsi="Calibri" w:cs="Calibri"/>
        <w:sz w:val="14"/>
        <w:szCs w:val="16"/>
      </w:rPr>
      <w:fldChar w:fldCharType="separate"/>
    </w:r>
    <w:r w:rsidR="00C06039">
      <w:rPr>
        <w:rFonts w:ascii="Calibri" w:hAnsi="Calibri" w:cs="Calibri"/>
        <w:noProof/>
        <w:sz w:val="14"/>
        <w:szCs w:val="16"/>
        <w:lang w:val="it-IT"/>
      </w:rPr>
      <w:t>1</w:t>
    </w:r>
    <w:r w:rsidRPr="0008781B">
      <w:rPr>
        <w:rFonts w:ascii="Calibri" w:hAnsi="Calibri" w:cs="Calibri"/>
        <w:sz w:val="14"/>
        <w:szCs w:val="16"/>
      </w:rPr>
      <w:fldChar w:fldCharType="end"/>
    </w:r>
    <w:r w:rsidRPr="0008781B">
      <w:rPr>
        <w:rFonts w:ascii="Calibri" w:hAnsi="Calibri" w:cs="Calibri"/>
        <w:sz w:val="14"/>
        <w:szCs w:val="16"/>
        <w:lang w:val="it-IT"/>
      </w:rPr>
      <w:t xml:space="preserve"> di </w:t>
    </w:r>
    <w:r w:rsidRPr="0008781B">
      <w:rPr>
        <w:rFonts w:ascii="Calibri" w:hAnsi="Calibri" w:cs="Calibri"/>
        <w:sz w:val="14"/>
        <w:szCs w:val="16"/>
      </w:rPr>
      <w:fldChar w:fldCharType="begin"/>
    </w:r>
    <w:r w:rsidRPr="0008781B">
      <w:rPr>
        <w:rFonts w:ascii="Calibri" w:hAnsi="Calibri" w:cs="Calibri"/>
        <w:sz w:val="14"/>
        <w:szCs w:val="16"/>
        <w:lang w:val="it-IT"/>
      </w:rPr>
      <w:instrText xml:space="preserve"> NUMPAGES  </w:instrText>
    </w:r>
    <w:r w:rsidRPr="0008781B">
      <w:rPr>
        <w:rFonts w:ascii="Calibri" w:hAnsi="Calibri" w:cs="Calibri"/>
        <w:sz w:val="14"/>
        <w:szCs w:val="16"/>
      </w:rPr>
      <w:fldChar w:fldCharType="separate"/>
    </w:r>
    <w:r w:rsidR="00C06039">
      <w:rPr>
        <w:rFonts w:ascii="Calibri" w:hAnsi="Calibri" w:cs="Calibri"/>
        <w:noProof/>
        <w:sz w:val="14"/>
        <w:szCs w:val="16"/>
        <w:lang w:val="it-IT"/>
      </w:rPr>
      <w:t>2</w:t>
    </w:r>
    <w:r w:rsidRPr="0008781B">
      <w:rPr>
        <w:rFonts w:ascii="Calibri" w:hAnsi="Calibri" w:cs="Calibri"/>
        <w:sz w:val="14"/>
        <w:szCs w:val="16"/>
      </w:rPr>
      <w:fldChar w:fldCharType="end"/>
    </w:r>
  </w:p>
  <w:p w:rsidR="006E0AF4" w:rsidRPr="00595197" w:rsidRDefault="006E0AF4" w:rsidP="0008781B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2E" w:rsidRDefault="0064582E" w:rsidP="00C66548">
      <w:r w:rsidRPr="00C66548">
        <w:rPr>
          <w:color w:val="000000"/>
        </w:rPr>
        <w:separator/>
      </w:r>
    </w:p>
  </w:footnote>
  <w:footnote w:type="continuationSeparator" w:id="0">
    <w:p w:rsidR="0064582E" w:rsidRDefault="0064582E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6E0AF4" w:rsidP="006E0AF4">
    <w:pPr>
      <w:pStyle w:val="Intestazione"/>
      <w:rPr>
        <w:sz w:val="10"/>
        <w:szCs w:val="10"/>
      </w:rPr>
    </w:pPr>
  </w:p>
  <w:p w:rsidR="00C06039" w:rsidRPr="00C06039" w:rsidRDefault="00C06039" w:rsidP="00C06039">
    <w:pPr>
      <w:tabs>
        <w:tab w:val="center" w:pos="4819"/>
        <w:tab w:val="right" w:pos="9638"/>
      </w:tabs>
      <w:suppressAutoHyphens w:val="0"/>
      <w:autoSpaceDN/>
      <w:jc w:val="right"/>
      <w:textAlignment w:val="auto"/>
      <w:rPr>
        <w:rFonts w:eastAsia="Calibri"/>
        <w:i/>
        <w:lang w:val="it-IT"/>
      </w:rPr>
    </w:pPr>
    <w:r>
      <w:rPr>
        <w:rFonts w:eastAsia="Calibri"/>
        <w:i/>
        <w:lang w:val="it-IT"/>
      </w:rPr>
      <w:t xml:space="preserve">ALLEGATO </w:t>
    </w:r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1" wp14:anchorId="6E1729B3" wp14:editId="09A79BB0">
          <wp:simplePos x="0" y="0"/>
          <wp:positionH relativeFrom="column">
            <wp:posOffset>2400300</wp:posOffset>
          </wp:positionH>
          <wp:positionV relativeFrom="paragraph">
            <wp:posOffset>53340</wp:posOffset>
          </wp:positionV>
          <wp:extent cx="1371600" cy="864235"/>
          <wp:effectExtent l="0" t="0" r="0" b="0"/>
          <wp:wrapSquare wrapText="bothSides"/>
          <wp:docPr id="1" name="Immagine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i/>
        <w:lang w:val="it-IT"/>
      </w:rPr>
      <w:t>B1</w:t>
    </w:r>
  </w:p>
  <w:p w:rsidR="00C06039" w:rsidRPr="00C06039" w:rsidRDefault="00C06039" w:rsidP="00C06039">
    <w:pPr>
      <w:tabs>
        <w:tab w:val="center" w:pos="4819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C06039">
      <w:rPr>
        <w:rFonts w:ascii="Arial" w:hAnsi="Arial" w:cs="Arial"/>
        <w:b/>
        <w:sz w:val="20"/>
        <w:szCs w:val="20"/>
        <w:lang w:val="it-IT" w:eastAsia="it-IT"/>
      </w:rPr>
      <w:tab/>
    </w:r>
    <w:r w:rsidRPr="00C06039">
      <w:rPr>
        <w:rFonts w:ascii="Arial" w:hAnsi="Arial" w:cs="Arial"/>
        <w:b/>
        <w:sz w:val="20"/>
        <w:szCs w:val="20"/>
        <w:lang w:val="it-IT" w:eastAsia="it-IT"/>
      </w:rPr>
      <w:tab/>
    </w:r>
  </w:p>
  <w:p w:rsidR="00C06039" w:rsidRPr="00C06039" w:rsidRDefault="00C06039" w:rsidP="00C06039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C06039">
      <w:rPr>
        <w:rFonts w:ascii="Arial" w:hAnsi="Arial" w:cs="Arial"/>
        <w:b/>
        <w:sz w:val="20"/>
        <w:szCs w:val="20"/>
        <w:lang w:val="en-GB" w:eastAsia="it-IT"/>
      </w:rPr>
      <w:tab/>
    </w:r>
  </w:p>
  <w:p w:rsidR="00C06039" w:rsidRPr="00C06039" w:rsidRDefault="00C06039" w:rsidP="00C06039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</w:p>
  <w:p w:rsidR="00C06039" w:rsidRPr="00C06039" w:rsidRDefault="00C06039" w:rsidP="00C06039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20"/>
        <w:lang w:val="en-GB" w:eastAsia="it-IT"/>
      </w:rPr>
    </w:pPr>
  </w:p>
  <w:p w:rsidR="00C06039" w:rsidRPr="00C06039" w:rsidRDefault="00C06039" w:rsidP="00C06039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C06039" w:rsidRPr="00C06039" w:rsidRDefault="00C06039" w:rsidP="00C06039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C06039" w:rsidRPr="00C06039" w:rsidRDefault="00C06039" w:rsidP="00C06039">
    <w:pPr>
      <w:pBdr>
        <w:bottom w:val="single" w:sz="8" w:space="1" w:color="3366FF"/>
      </w:pBdr>
      <w:tabs>
        <w:tab w:val="center" w:pos="4819"/>
        <w:tab w:val="left" w:pos="5760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2"/>
        <w:lang w:val="it-IT" w:eastAsia="it-IT"/>
      </w:rPr>
    </w:pPr>
  </w:p>
  <w:p w:rsidR="00C66548" w:rsidRPr="00C06039" w:rsidRDefault="00C06039" w:rsidP="00C06039">
    <w:pPr>
      <w:tabs>
        <w:tab w:val="center" w:pos="4819"/>
        <w:tab w:val="left" w:pos="5760"/>
      </w:tabs>
      <w:suppressAutoHyphens w:val="0"/>
      <w:autoSpaceDN/>
      <w:textAlignment w:val="auto"/>
      <w:rPr>
        <w:rFonts w:eastAsia="Calibri"/>
        <w:i/>
        <w:lang w:val="it-IT"/>
      </w:rPr>
    </w:pPr>
    <w:r w:rsidRPr="00C06039">
      <w:rPr>
        <w:rFonts w:ascii="Arial" w:hAnsi="Arial" w:cs="Arial"/>
        <w:b/>
        <w:sz w:val="20"/>
        <w:szCs w:val="22"/>
        <w:lang w:val="it-IT" w:eastAsia="it-IT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820F9C"/>
    <w:multiLevelType w:val="hybridMultilevel"/>
    <w:tmpl w:val="011CDF50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E0268DF"/>
    <w:multiLevelType w:val="hybridMultilevel"/>
    <w:tmpl w:val="255E08F4"/>
    <w:lvl w:ilvl="0" w:tplc="BE0C6FD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043F"/>
    <w:multiLevelType w:val="hybridMultilevel"/>
    <w:tmpl w:val="2F08BDF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A35B6A"/>
    <w:multiLevelType w:val="hybridMultilevel"/>
    <w:tmpl w:val="6C0ED106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265D"/>
    <w:multiLevelType w:val="hybridMultilevel"/>
    <w:tmpl w:val="FF4ED74E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58C6775C"/>
    <w:multiLevelType w:val="hybridMultilevel"/>
    <w:tmpl w:val="0D8032BA"/>
    <w:lvl w:ilvl="0" w:tplc="BE0C6FD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23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5E413D66"/>
    <w:multiLevelType w:val="hybridMultilevel"/>
    <w:tmpl w:val="7BE47418"/>
    <w:lvl w:ilvl="0" w:tplc="30604D7E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31084"/>
    <w:multiLevelType w:val="hybridMultilevel"/>
    <w:tmpl w:val="866694F0"/>
    <w:lvl w:ilvl="0" w:tplc="BE0C6FD2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3"/>
  </w:num>
  <w:num w:numId="5">
    <w:abstractNumId w:val="0"/>
  </w:num>
  <w:num w:numId="6">
    <w:abstractNumId w:val="13"/>
  </w:num>
  <w:num w:numId="7">
    <w:abstractNumId w:val="24"/>
  </w:num>
  <w:num w:numId="8">
    <w:abstractNumId w:val="13"/>
  </w:num>
  <w:num w:numId="9">
    <w:abstractNumId w:val="6"/>
  </w:num>
  <w:num w:numId="10">
    <w:abstractNumId w:val="25"/>
  </w:num>
  <w:num w:numId="11">
    <w:abstractNumId w:val="32"/>
  </w:num>
  <w:num w:numId="12">
    <w:abstractNumId w:val="4"/>
  </w:num>
  <w:num w:numId="13">
    <w:abstractNumId w:val="27"/>
  </w:num>
  <w:num w:numId="14">
    <w:abstractNumId w:val="19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29"/>
  </w:num>
  <w:num w:numId="20">
    <w:abstractNumId w:val="12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3"/>
  </w:num>
  <w:num w:numId="30">
    <w:abstractNumId w:val="21"/>
  </w:num>
  <w:num w:numId="31">
    <w:abstractNumId w:val="16"/>
  </w:num>
  <w:num w:numId="32">
    <w:abstractNumId w:val="14"/>
  </w:num>
  <w:num w:numId="33">
    <w:abstractNumId w:val="30"/>
  </w:num>
  <w:num w:numId="34">
    <w:abstractNumId w:val="11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672E5"/>
    <w:rsid w:val="0008781B"/>
    <w:rsid w:val="00123311"/>
    <w:rsid w:val="00172E7D"/>
    <w:rsid w:val="00196138"/>
    <w:rsid w:val="001E5DED"/>
    <w:rsid w:val="00261AB2"/>
    <w:rsid w:val="002F679E"/>
    <w:rsid w:val="00356025"/>
    <w:rsid w:val="003F4211"/>
    <w:rsid w:val="00430FA4"/>
    <w:rsid w:val="0046478A"/>
    <w:rsid w:val="00542648"/>
    <w:rsid w:val="0057337B"/>
    <w:rsid w:val="00595197"/>
    <w:rsid w:val="00595D2D"/>
    <w:rsid w:val="005F7A66"/>
    <w:rsid w:val="0064582E"/>
    <w:rsid w:val="0067426E"/>
    <w:rsid w:val="006A158E"/>
    <w:rsid w:val="006D4596"/>
    <w:rsid w:val="006E0AF4"/>
    <w:rsid w:val="006F46D6"/>
    <w:rsid w:val="00722E6A"/>
    <w:rsid w:val="007354A3"/>
    <w:rsid w:val="00741CF7"/>
    <w:rsid w:val="00755DDE"/>
    <w:rsid w:val="007838CB"/>
    <w:rsid w:val="008050F3"/>
    <w:rsid w:val="008631F7"/>
    <w:rsid w:val="00871C28"/>
    <w:rsid w:val="009172D4"/>
    <w:rsid w:val="009810E4"/>
    <w:rsid w:val="00A9437B"/>
    <w:rsid w:val="00AA3431"/>
    <w:rsid w:val="00AB7026"/>
    <w:rsid w:val="00AE3952"/>
    <w:rsid w:val="00B077EF"/>
    <w:rsid w:val="00B31DAF"/>
    <w:rsid w:val="00B328D3"/>
    <w:rsid w:val="00B36B95"/>
    <w:rsid w:val="00B92138"/>
    <w:rsid w:val="00BC364F"/>
    <w:rsid w:val="00BD31D8"/>
    <w:rsid w:val="00BF6D1C"/>
    <w:rsid w:val="00C06039"/>
    <w:rsid w:val="00C46AA5"/>
    <w:rsid w:val="00C66548"/>
    <w:rsid w:val="00C823A5"/>
    <w:rsid w:val="00C977FD"/>
    <w:rsid w:val="00CB0938"/>
    <w:rsid w:val="00D140D6"/>
    <w:rsid w:val="00E45F91"/>
    <w:rsid w:val="00E53681"/>
    <w:rsid w:val="00E60FC3"/>
    <w:rsid w:val="00E61476"/>
    <w:rsid w:val="00E92386"/>
    <w:rsid w:val="00ED273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AEF5-E4A2-43C0-B087-0183A0D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Verspieren Italia Srl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Antonella Petruzziello</dc:creator>
  <cp:lastModifiedBy>Alessandro Vellini</cp:lastModifiedBy>
  <cp:revision>3</cp:revision>
  <cp:lastPrinted>2015-07-24T08:38:00Z</cp:lastPrinted>
  <dcterms:created xsi:type="dcterms:W3CDTF">2019-04-01T15:33:00Z</dcterms:created>
  <dcterms:modified xsi:type="dcterms:W3CDTF">2019-04-08T11:05:00Z</dcterms:modified>
</cp:coreProperties>
</file>